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>Abstract Directions for the 202</w:t>
      </w:r>
      <w:r>
        <w:rPr>
          <w:rFonts w:cs="Arial" w:ascii="Arial" w:hAnsi="Arial"/>
          <w:b/>
          <w:u w:val="single"/>
        </w:rPr>
        <w:t>6</w:t>
      </w:r>
      <w:r>
        <w:rPr>
          <w:rFonts w:cs="Arial" w:ascii="Arial" w:hAnsi="Arial"/>
          <w:b/>
          <w:u w:val="single"/>
        </w:rPr>
        <w:t xml:space="preserve"> WV-INBRE Summer Research Symposium</w:t>
      </w:r>
    </w:p>
    <w:p>
      <w:pPr>
        <w:pStyle w:val="Normal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rPr>
          <w:rFonts w:ascii="Arial" w:hAnsi="Arial" w:cs="Arial"/>
          <w:b/>
          <w:b/>
          <w:i/>
          <w:i/>
          <w:color w:val="1F497D"/>
        </w:rPr>
      </w:pPr>
      <w:r>
        <w:rPr>
          <w:rFonts w:cs="Arial" w:ascii="Arial" w:hAnsi="Arial"/>
          <w:b/>
          <w:color w:val="FF0000"/>
          <w:u w:val="single"/>
        </w:rPr>
        <w:t xml:space="preserve">ABSTRACT DEADLINE </w:t>
      </w:r>
      <w:r>
        <w:rPr>
          <w:rFonts w:cs="Arial" w:ascii="Arial" w:hAnsi="Arial"/>
          <w:b/>
          <w:color w:val="FF0000"/>
          <w:u w:val="single"/>
        </w:rPr>
        <w:t xml:space="preserve">5 PM on </w:t>
      </w:r>
      <w:r>
        <w:rPr>
          <w:rFonts w:cs="Arial" w:ascii="Arial" w:hAnsi="Arial"/>
          <w:b/>
          <w:color w:val="FF0000"/>
          <w:u w:val="single"/>
        </w:rPr>
        <w:t>Friday, July 1</w:t>
      </w:r>
      <w:r>
        <w:rPr>
          <w:rFonts w:cs="Arial" w:ascii="Arial" w:hAnsi="Arial"/>
          <w:b/>
          <w:color w:val="FF0000"/>
          <w:u w:val="single"/>
        </w:rPr>
        <w:t>0</w:t>
      </w:r>
      <w:r>
        <w:rPr>
          <w:rFonts w:cs="Arial" w:ascii="Arial" w:hAnsi="Arial"/>
          <w:b/>
          <w:color w:val="FF0000"/>
          <w:position w:val="0"/>
          <w:sz w:val="24"/>
          <w:sz w:val="24"/>
          <w:u w:val="single"/>
          <w:vertAlign w:val="baseline"/>
        </w:rPr>
        <w:t>,</w:t>
      </w:r>
      <w:r>
        <w:rPr>
          <w:rFonts w:cs="Arial" w:ascii="Arial" w:hAnsi="Arial"/>
          <w:b/>
          <w:color w:val="FF0000"/>
          <w:u w:val="single"/>
        </w:rPr>
        <w:t xml:space="preserve"> 202</w:t>
      </w:r>
      <w:r>
        <w:rPr>
          <w:rFonts w:cs="Arial" w:ascii="Arial" w:hAnsi="Arial"/>
          <w:b/>
          <w:color w:val="FF0000"/>
          <w:u w:val="single"/>
        </w:rPr>
        <w:t>6</w:t>
      </w:r>
      <w:r>
        <w:rPr>
          <w:rFonts w:cs="Arial" w:ascii="Arial" w:hAnsi="Arial"/>
          <w:b/>
          <w:color w:val="FF3333"/>
          <w:u w:val="single"/>
        </w:rPr>
        <w:t>.</w:t>
      </w:r>
      <w:r>
        <w:rPr>
          <w:rFonts w:cs="Arial" w:ascii="Arial" w:hAnsi="Arial"/>
          <w:b/>
          <w:color w:val="1F497D"/>
        </w:rPr>
        <w:t xml:space="preserve">  Send your abstract </w:t>
      </w:r>
      <w:bookmarkStart w:id="0" w:name="_GoBack"/>
      <w:bookmarkEnd w:id="0"/>
      <w:r>
        <w:rPr>
          <w:rFonts w:cs="Arial" w:ascii="Arial" w:hAnsi="Arial"/>
          <w:b/>
          <w:color w:val="1F497D"/>
        </w:rPr>
        <w:t xml:space="preserve">to Sheila Anderson by e-mail at the following e-mail address:  </w:t>
      </w:r>
      <w:hyperlink r:id="rId2">
        <w:r>
          <w:rPr>
            <w:rStyle w:val="InternetLink"/>
            <w:rFonts w:cs="Arial" w:ascii="Arial" w:hAnsi="Arial"/>
            <w:b/>
          </w:rPr>
          <w:t>sdanderson@hsc.wvu.edu</w:t>
        </w:r>
      </w:hyperlink>
      <w:r>
        <w:rPr>
          <w:rFonts w:ascii="Arial" w:hAnsi="Arial"/>
        </w:rPr>
        <w:t xml:space="preserve">.  Please note that </w:t>
      </w:r>
      <w:r>
        <w:rPr>
          <w:rFonts w:ascii="Arial" w:hAnsi="Arial"/>
          <w:color w:val="000000"/>
        </w:rPr>
        <w:t xml:space="preserve">if your abstract is not received by the deadline, it will not appear in the Symposium booklet. </w:t>
      </w:r>
    </w:p>
    <w:p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80" w:after="280"/>
        <w:rPr>
          <w:rFonts w:ascii="Arial" w:hAnsi="Arial"/>
          <w:b/>
          <w:b/>
          <w:bCs/>
          <w:color w:val="FF0000"/>
        </w:rPr>
      </w:pPr>
      <w:r>
        <w:rPr>
          <w:rFonts w:ascii="Arial" w:hAnsi="Arial"/>
          <w:b/>
          <w:bCs/>
          <w:color w:val="FF0000"/>
        </w:rPr>
        <w:t xml:space="preserve">Specific format checklist:  (for the sake of consistency it is VERY IMPORTANT that you follow the format in the sample abstract shown below </w:t>
      </w:r>
      <w:r>
        <w:rPr>
          <w:rFonts w:ascii="Arial" w:hAnsi="Arial"/>
          <w:b/>
          <w:bCs/>
          <w:color w:val="FF0000"/>
          <w:u w:val="single"/>
        </w:rPr>
        <w:t>EXACTLY AS SHOWN</w:t>
      </w:r>
      <w:r>
        <w:rPr>
          <w:rFonts w:ascii="Arial" w:hAnsi="Arial"/>
          <w:b/>
          <w:bCs/>
          <w:color w:val="FF0000"/>
        </w:rPr>
        <w:t xml:space="preserve">); please pay attention specifically to the following points: </w:t>
      </w:r>
    </w:p>
    <w:p>
      <w:pPr>
        <w:pStyle w:val="NormalWeb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80" w:after="0"/>
        <w:rPr>
          <w:rFonts w:ascii="Arial" w:hAnsi="Arial"/>
          <w:bCs/>
          <w:color w:val="1F497D"/>
        </w:rPr>
      </w:pPr>
      <w:r>
        <w:rPr>
          <w:rFonts w:ascii="Arial" w:hAnsi="Arial"/>
          <w:bCs/>
          <w:color w:val="1F497D"/>
        </w:rPr>
        <w:t xml:space="preserve">Use </w:t>
      </w:r>
      <w:r>
        <w:rPr>
          <w:rFonts w:ascii="Arial" w:hAnsi="Arial"/>
          <w:bCs/>
          <w:color w:val="FF0000"/>
          <w:u w:val="single"/>
        </w:rPr>
        <w:t>Arial, 12 pt. font</w:t>
      </w:r>
      <w:r>
        <w:rPr>
          <w:rFonts w:ascii="Arial" w:hAnsi="Arial"/>
          <w:bCs/>
          <w:color w:val="1F497D"/>
        </w:rPr>
        <w:t xml:space="preserve"> for all text – including title, authors &amp; affiliations, and body of the text.</w:t>
      </w:r>
    </w:p>
    <w:p>
      <w:pPr>
        <w:pStyle w:val="NormalWeb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rFonts w:ascii="Arial" w:hAnsi="Arial"/>
          <w:bCs/>
          <w:color w:val="1F497D"/>
        </w:rPr>
      </w:pPr>
      <w:r>
        <w:rPr>
          <w:rFonts w:ascii="Arial" w:hAnsi="Arial"/>
          <w:bCs/>
          <w:color w:val="1F497D"/>
        </w:rPr>
        <w:t xml:space="preserve">Title – put the title in </w:t>
      </w:r>
      <w:r>
        <w:rPr>
          <w:rFonts w:ascii="Arial" w:hAnsi="Arial"/>
          <w:b/>
          <w:bCs/>
          <w:color w:val="FF0000"/>
          <w:u w:val="single"/>
        </w:rPr>
        <w:t>boldface</w:t>
      </w:r>
      <w:r>
        <w:rPr>
          <w:rFonts w:ascii="Arial" w:hAnsi="Arial"/>
          <w:bCs/>
          <w:color w:val="1F497D"/>
        </w:rPr>
        <w:t xml:space="preserve"> type</w:t>
      </w:r>
    </w:p>
    <w:p>
      <w:pPr>
        <w:pStyle w:val="NormalWeb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rFonts w:ascii="Arial" w:hAnsi="Arial"/>
          <w:bCs/>
          <w:color w:val="1F497D"/>
        </w:rPr>
      </w:pPr>
      <w:r>
        <w:rPr>
          <w:rFonts w:ascii="Arial" w:hAnsi="Arial"/>
          <w:bCs/>
          <w:color w:val="1F497D"/>
        </w:rPr>
        <w:t xml:space="preserve">Authors and affiliations– put in </w:t>
      </w:r>
      <w:r>
        <w:rPr>
          <w:rFonts w:ascii="Arial" w:hAnsi="Arial"/>
          <w:bCs/>
          <w:i/>
          <w:color w:val="FF0000"/>
          <w:u w:val="single"/>
        </w:rPr>
        <w:t>regular, italicized</w:t>
      </w:r>
      <w:r>
        <w:rPr>
          <w:rFonts w:ascii="Arial" w:hAnsi="Arial"/>
          <w:bCs/>
          <w:color w:val="1F497D"/>
        </w:rPr>
        <w:t xml:space="preserve">  type</w:t>
      </w:r>
    </w:p>
    <w:p>
      <w:pPr>
        <w:pStyle w:val="NormalWeb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rFonts w:ascii="Arial" w:hAnsi="Arial"/>
          <w:bCs/>
          <w:color w:val="1F497D"/>
        </w:rPr>
      </w:pPr>
      <w:r>
        <w:rPr>
          <w:rFonts w:ascii="Arial" w:hAnsi="Arial"/>
          <w:bCs/>
          <w:color w:val="1F497D"/>
        </w:rPr>
        <w:t xml:space="preserve">Text of abstract – the text should be written in a </w:t>
      </w:r>
      <w:r>
        <w:rPr>
          <w:rFonts w:ascii="Arial" w:hAnsi="Arial"/>
          <w:b/>
          <w:bCs/>
          <w:i/>
          <w:color w:val="FF0000"/>
          <w:u w:val="single"/>
        </w:rPr>
        <w:t>SINGLE paragraph</w:t>
      </w:r>
      <w:r>
        <w:rPr>
          <w:rFonts w:ascii="Arial" w:hAnsi="Arial"/>
          <w:bCs/>
          <w:color w:val="1F497D"/>
        </w:rPr>
        <w:t xml:space="preserve">; in regular (not boldface or italicized) type; there is a </w:t>
      </w:r>
      <w:r>
        <w:rPr>
          <w:rFonts w:ascii="Arial" w:hAnsi="Arial"/>
          <w:b/>
          <w:bCs/>
          <w:color w:val="1F497D"/>
          <w:u w:val="single"/>
        </w:rPr>
        <w:t>250 word limit</w:t>
      </w:r>
      <w:r>
        <w:rPr>
          <w:rFonts w:ascii="Arial" w:hAnsi="Arial"/>
          <w:bCs/>
          <w:color w:val="1F497D"/>
        </w:rPr>
        <w:t xml:space="preserve"> for the body of text.</w:t>
      </w:r>
    </w:p>
    <w:p>
      <w:pPr>
        <w:pStyle w:val="NormalWeb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280"/>
        <w:rPr>
          <w:rFonts w:ascii="Arial" w:hAnsi="Arial"/>
          <w:bCs/>
          <w:color w:val="1F497D"/>
        </w:rPr>
      </w:pPr>
      <w:r>
        <w:rPr>
          <w:rFonts w:ascii="Arial" w:hAnsi="Arial"/>
          <w:bCs/>
          <w:color w:val="1F497D"/>
        </w:rPr>
        <w:t xml:space="preserve">At the end of the abstract </w:t>
      </w:r>
      <w:r>
        <w:rPr>
          <w:rFonts w:ascii="Arial" w:hAnsi="Arial"/>
          <w:bCs/>
          <w:color w:val="1F497D"/>
          <w:u w:val="single"/>
        </w:rPr>
        <w:t>add the following statemen</w:t>
      </w:r>
      <w:r>
        <w:rPr>
          <w:rFonts w:ascii="Arial" w:hAnsi="Arial"/>
          <w:bCs/>
          <w:color w:val="1F497D"/>
        </w:rPr>
        <w:t xml:space="preserve">t in parentheses (as shown):  </w:t>
      </w:r>
      <w:r>
        <w:rPr>
          <w:rFonts w:ascii="Arial" w:hAnsi="Arial"/>
          <w:b/>
          <w:bCs/>
          <w:i/>
          <w:color w:val="0000FF"/>
        </w:rPr>
        <w:t>(Supported by NIH Grant P20GM103434 to the West Virginia IDeA Network for Biomedical Research Excellence)</w:t>
      </w:r>
    </w:p>
    <w:p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80" w:after="280"/>
        <w:ind w:left="360" w:hanging="0"/>
        <w:rPr>
          <w:rFonts w:ascii="Arial" w:hAnsi="Arial"/>
          <w:b/>
          <w:b/>
          <w:bCs/>
          <w:i/>
          <w:i/>
          <w:color w:val="1F497D"/>
          <w:u w:val="single"/>
        </w:rPr>
      </w:pPr>
      <w:r>
        <w:rPr>
          <w:rFonts w:ascii="Arial" w:hAnsi="Arial"/>
          <w:b/>
          <w:bCs/>
          <w:i/>
          <w:color w:val="1F497D"/>
        </w:rPr>
        <w:t>IMPORTANT – YOUR ABSTRACT MUST BE APPROVED BY YOUR MENTOR before sending it in –please indicate this approval and cc your mentor in your abstract submission e-mail). (MENTORS: Please be certain to approve your intern’s abstract before it is submitted.)</w:t>
      </w:r>
    </w:p>
    <w:p>
      <w:pPr>
        <w:pStyle w:val="Normal"/>
        <w:rPr>
          <w:rFonts w:ascii="Arial" w:hAnsi="Arial"/>
        </w:rPr>
      </w:pPr>
      <w:r>
        <w:rPr/>
        <mc:AlternateContent>
          <mc:Choice Requires="wps">
            <w:drawing>
              <wp:inline distT="0" distB="0" distL="0" distR="0">
                <wp:extent cx="5943600" cy="635"/>
                <wp:effectExtent l="0" t="0" r="0" b="0"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2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Shape1" path="m0,0l-2147483645,0l-2147483645,-2147483646l0,-2147483646xe" fillcolor="gray" stroked="f" o:allowincell="f" style="position:absolute;margin-left:0pt;margin-top:-0.1pt;width:467.95pt;height:0pt;mso-wrap-style:none;v-text-anchor:middle;mso-position-vertical:top">
                <v:fill o:detectmouseclick="t" type="solid" color2="#7f7f7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Web"/>
        <w:spacing w:before="280" w:after="280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u w:val="single"/>
        </w:rPr>
        <w:t>SAMPLE ABSTRACT format for the 202</w:t>
      </w:r>
      <w:r>
        <w:rPr>
          <w:rFonts w:ascii="Arial" w:hAnsi="Arial"/>
          <w:b/>
          <w:bCs/>
          <w:u w:val="single"/>
        </w:rPr>
        <w:t>6</w:t>
      </w:r>
      <w:r>
        <w:rPr>
          <w:rFonts w:ascii="Arial" w:hAnsi="Arial"/>
          <w:b/>
          <w:bCs/>
          <w:u w:val="single"/>
        </w:rPr>
        <w:t xml:space="preserve"> WV-INBRE Summer Program</w:t>
      </w:r>
      <w:r>
        <w:rPr>
          <w:rFonts w:ascii="Arial" w:hAnsi="Arial"/>
          <w:b/>
          <w:bCs/>
        </w:rPr>
        <w:t>:</w:t>
      </w:r>
    </w:p>
    <w:p>
      <w:pPr>
        <w:pStyle w:val="Normal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b/>
        </w:rPr>
        <w:t>Disparate Primary and Secondary Allospecific CD8+ T Cell Cytolytic Effector Function in the Presence or Absence of Host CD4+ T Cells</w:t>
      </w:r>
      <w:r>
        <w:rPr>
          <w:rFonts w:cs="Arial" w:ascii="Arial" w:hAnsi="Arial"/>
          <w:b/>
          <w:i/>
        </w:rPr>
        <w:t xml:space="preserve">.  </w:t>
      </w:r>
      <w:r>
        <w:rPr>
          <w:rFonts w:cs="Arial" w:ascii="Arial" w:hAnsi="Arial"/>
          <w:i/>
        </w:rPr>
        <w:t>Phillip H. Horne</w:t>
      </w:r>
      <w:r>
        <w:rPr>
          <w:rFonts w:ascii="Arial" w:hAnsi="Arial"/>
          <w:i/>
        </w:rPr>
        <w:t xml:space="preserve">†, </w:t>
      </w:r>
      <w:r>
        <w:rPr>
          <w:rFonts w:cs="Arial" w:ascii="Arial" w:hAnsi="Arial"/>
          <w:i/>
        </w:rPr>
        <w:t>Mitchel A. Koester*, Kartika Jayashankar*, Keri E. Lunsford</w:t>
      </w:r>
      <w:r>
        <w:rPr>
          <w:rFonts w:ascii="Arial" w:hAnsi="Arial"/>
          <w:i/>
        </w:rPr>
        <w:t xml:space="preserve">†, </w:t>
      </w:r>
      <w:r>
        <w:rPr>
          <w:rFonts w:cs="Arial" w:ascii="Arial" w:hAnsi="Arial"/>
          <w:i/>
        </w:rPr>
        <w:t>Heather L. Dziema*, Ginny L. Bumgardner*</w:t>
      </w:r>
      <w:r>
        <w:rPr>
          <w:rFonts w:ascii="Arial" w:hAnsi="Arial"/>
          <w:i/>
        </w:rPr>
        <w:t xml:space="preserve">†.  </w:t>
      </w:r>
      <w:r>
        <w:rPr>
          <w:rFonts w:cs="Arial" w:ascii="Arial" w:hAnsi="Arial"/>
          <w:i/>
        </w:rPr>
        <w:t>*</w:t>
      </w:r>
      <w:r>
        <w:rPr>
          <w:rFonts w:cs="Arial" w:ascii="Arial" w:hAnsi="Arial"/>
          <w:bCs/>
          <w:i/>
          <w:iCs/>
        </w:rPr>
        <w:t xml:space="preserve">Department of Surgery, Comprehensive Transplant Center, The Ohio State University Medical Center, Columbus, OH; </w:t>
      </w:r>
      <w:r>
        <w:rPr>
          <w:rFonts w:cs="Arial" w:ascii="Arial" w:hAnsi="Arial"/>
          <w:i/>
        </w:rPr>
        <w:t>†</w:t>
      </w:r>
      <w:r>
        <w:rPr>
          <w:rFonts w:cs="Arial" w:ascii="Arial" w:hAnsi="Arial"/>
          <w:bCs/>
          <w:i/>
          <w:iCs/>
        </w:rPr>
        <w:t>Integrated Biomedical Science Graduate Program, College of Medicine, The Ohio State University, Columbus, OH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pBdr>
          <w:bottom w:val="single" w:sz="12" w:space="0" w:color="000000"/>
        </w:pBd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The role of CD4+ T cells in promoting CD8+ T cell effector activity in response to transplant antigens in vivo has not been reported. We utilized a hepatocellular allograft model known to initiate both CD4-dependent and CD4-independent rejection responses to investigate the contribution of CD4+ T cells to the development, function, and persistence of allospecific CD8+ T cell effectors in vivo. Complete MHC mismatched hepatocellular allografts were transplanted into C57BL/6 (CD4-sufficient) or CD4 KO (CD4-deficient) hosts. The development of in vivo allospecific cytotoxicity was determined by clearance of CFSE-labeled target cells. CD8+ T cell cytotoxic effector activity was enhanced in response to allogeneic hepatocellular grafts with a greater magnitude of allocytotoxicity and a prolonged persistence of CTL effector activity in CD4-sufficient hosts compared to CD4-deficient hosts. Cytolytic activity was mediated by CD8+ T cells in both recipient groups. In response to a second hepatocyte transplant, rejection kinetics were enhanced in both CD4-sufficient and CD4-deficient hepatocyte recipients. However, only CD4-sufficient hosts developed recall CTL responses with an augmented magnitude and persistence of allocytotoxicity in comparison to primary CTL responses. These studies show important functional differences between alloreactive CD8+ T cell cytolytic effectors which mature in vivo in the presence or absence of CD4+ T cells. </w:t>
      </w:r>
      <w:r>
        <w:rPr>
          <w:rFonts w:ascii="Arial" w:hAnsi="Arial"/>
          <w:bCs/>
          <w:i/>
        </w:rPr>
        <w:t>(Supported by NIH Grant P20GM103434 to the West Virginia IDeA Network for Biomedical Research Excellence)</w:t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Bitstream Vera Sans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0b8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link w:val="Heading1Char"/>
    <w:uiPriority w:val="99"/>
    <w:qFormat/>
    <w:rsid w:val="008c34da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8c34da"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f573b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ff573b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InternetLink">
    <w:name w:val="Hyperlink"/>
    <w:basedOn w:val="DefaultParagraphFont"/>
    <w:uiPriority w:val="99"/>
    <w:rsid w:val="008c34da"/>
    <w:rPr>
      <w:rFonts w:cs="Times New Roman"/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Bitstream Vera Sans" w:hAnsi="Bitstream Vera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NormalWeb">
    <w:name w:val="Normal (Web)"/>
    <w:basedOn w:val="Normal"/>
    <w:uiPriority w:val="99"/>
    <w:qFormat/>
    <w:rsid w:val="008c34da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danderson@hsc.wvu.ed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Application>LibreOffice/7.3.7.2$Linux_X86_64 LibreOffice_project/30$Build-2</Application>
  <AppVersion>15.0000</AppVersion>
  <Pages>1</Pages>
  <Words>516</Words>
  <Characters>2949</Characters>
  <CharactersWithSpaces>3462</CharactersWithSpaces>
  <Paragraphs>13</Paragraphs>
  <Company>West Virginia University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2016-06-14T14:07:00Z</dcterms:created>
  <dc:creator>Jim Sheil</dc:creator>
  <dc:description/>
  <dc:language>en-US</dc:language>
  <cp:lastModifiedBy>Lawrence Grover</cp:lastModifiedBy>
  <cp:lastPrinted>2008-07-10T13:49:00Z</cp:lastPrinted>
  <dcterms:modified xsi:type="dcterms:W3CDTF">2026-04-27T11:38:12Z</dcterms:modified>
  <cp:revision>33</cp:revision>
  <dc:subject/>
  <dc:title>How to Write an Abstract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51135</vt:lpwstr>
  </property>
  <property fmtid="{D5CDD505-2E9C-101B-9397-08002B2CF9AE}" pid="3" name="StyleId">
    <vt:lpwstr>http://www.zotero.org/styles/vancouver</vt:lpwstr>
  </property>
</Properties>
</file>